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480" w:line="288" w:lineRule="auto"/>
        <w:ind w:left="709" w:hanging="709"/>
        <w:rPr>
          <w:rFonts w:ascii="Calibri" w:cs="Calibri" w:eastAsia="Calibri" w:hAnsi="Calibri"/>
          <w:b w:val="1"/>
          <w:color w:val="5d8db6"/>
          <w:sz w:val="32"/>
          <w:szCs w:val="32"/>
        </w:rPr>
      </w:pPr>
      <w:bookmarkStart w:colFirst="0" w:colLast="0" w:name="_heading=h.gjdgxs" w:id="0"/>
      <w:bookmarkEnd w:id="0"/>
      <w:r w:rsidDel="00000000" w:rsidR="00000000" w:rsidRPr="00000000">
        <w:rPr>
          <w:rFonts w:ascii="Calibri" w:cs="Calibri" w:eastAsia="Calibri" w:hAnsi="Calibri"/>
          <w:b w:val="1"/>
          <w:color w:val="5d8db6"/>
          <w:sz w:val="32"/>
          <w:szCs w:val="32"/>
          <w:rtl w:val="0"/>
        </w:rPr>
        <w:t xml:space="preserve">Form 2: Enrolment Priority Criteria</w:t>
      </w:r>
      <w:r w:rsidDel="00000000" w:rsidR="00000000" w:rsidRPr="00000000">
        <w:drawing>
          <wp:anchor allowOverlap="1" behindDoc="0" distB="0" distT="0" distL="114300" distR="114300" hidden="0" layoutInCell="1" locked="0" relativeHeight="0" simplePos="0">
            <wp:simplePos x="0" y="0"/>
            <wp:positionH relativeFrom="column">
              <wp:posOffset>4762500</wp:posOffset>
            </wp:positionH>
            <wp:positionV relativeFrom="paragraph">
              <wp:posOffset>0</wp:posOffset>
            </wp:positionV>
            <wp:extent cx="1238400" cy="903600"/>
            <wp:effectExtent b="0" l="0" r="0" t="0"/>
            <wp:wrapSquare wrapText="bothSides" distB="0" distT="0" distL="114300" distR="114300"/>
            <wp:docPr id="34" name="image2.png"/>
            <a:graphic>
              <a:graphicData uri="http://schemas.openxmlformats.org/drawingml/2006/picture">
                <pic:pic>
                  <pic:nvPicPr>
                    <pic:cNvPr id="0" name="image2.png"/>
                    <pic:cNvPicPr preferRelativeResize="0"/>
                  </pic:nvPicPr>
                  <pic:blipFill>
                    <a:blip r:embed="rId7"/>
                    <a:srcRect b="0" l="0" r="22185" t="0"/>
                    <a:stretch>
                      <a:fillRect/>
                    </a:stretch>
                  </pic:blipFill>
                  <pic:spPr>
                    <a:xfrm>
                      <a:off x="0" y="0"/>
                      <a:ext cx="1238400" cy="903600"/>
                    </a:xfrm>
                    <a:prstGeom prst="rect"/>
                    <a:ln/>
                  </pic:spPr>
                </pic:pic>
              </a:graphicData>
            </a:graphic>
          </wp:anchor>
        </w:drawing>
      </w:r>
    </w:p>
    <w:tbl>
      <w:tblPr>
        <w:tblStyle w:val="Table1"/>
        <w:tblW w:w="8075.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352"/>
        <w:gridCol w:w="5723"/>
        <w:tblGridChange w:id="0">
          <w:tblGrid>
            <w:gridCol w:w="2352"/>
            <w:gridCol w:w="5723"/>
          </w:tblGrid>
        </w:tblGridChange>
      </w:tblGrid>
      <w:tr>
        <w:trPr>
          <w:cantSplit w:val="0"/>
          <w:trHeight w:val="2376" w:hRule="atLeast"/>
          <w:tblHeader w:val="0"/>
        </w:trPr>
        <w:tc>
          <w:tcPr>
            <w:vAlign w:val="center"/>
          </w:tcPr>
          <w:p w:rsidR="00000000" w:rsidDel="00000000" w:rsidP="00000000" w:rsidRDefault="00000000" w:rsidRPr="00000000" w14:paraId="00000002">
            <w:pPr>
              <w:jc w:val="center"/>
              <w:rPr>
                <w:rFonts w:ascii="Calibri" w:cs="Calibri" w:eastAsia="Calibri" w:hAnsi="Calibri"/>
                <w:b w:val="1"/>
                <w:color w:val="5d8db6"/>
              </w:rPr>
            </w:pPr>
            <w:r w:rsidDel="00000000" w:rsidR="00000000" w:rsidRPr="00000000">
              <w:rPr>
                <w:rFonts w:ascii="Calibri" w:cs="Calibri" w:eastAsia="Calibri" w:hAnsi="Calibri"/>
                <w:b w:val="1"/>
                <w:color w:val="5d8db6"/>
              </w:rPr>
              <w:drawing>
                <wp:inline distB="0" distT="0" distL="0" distR="0">
                  <wp:extent cx="1163092" cy="1295400"/>
                  <wp:effectExtent b="0" l="0" r="0" t="0"/>
                  <wp:docPr id="36" name="image3.jpg"/>
                  <a:graphic>
                    <a:graphicData uri="http://schemas.openxmlformats.org/drawingml/2006/picture">
                      <pic:pic>
                        <pic:nvPicPr>
                          <pic:cNvPr id="0" name="image3.jpg"/>
                          <pic:cNvPicPr preferRelativeResize="0"/>
                        </pic:nvPicPr>
                        <pic:blipFill>
                          <a:blip r:embed="rId8"/>
                          <a:srcRect b="0" l="0" r="0" t="0"/>
                          <a:stretch>
                            <a:fillRect/>
                          </a:stretch>
                        </pic:blipFill>
                        <pic:spPr>
                          <a:xfrm>
                            <a:off x="0" y="0"/>
                            <a:ext cx="1163092" cy="12954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003">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St Joseph's Nagambie</w:t>
            </w:r>
          </w:p>
          <w:p w:rsidR="00000000" w:rsidDel="00000000" w:rsidP="00000000" w:rsidRDefault="00000000" w:rsidRPr="00000000" w14:paraId="00000004">
            <w:pPr>
              <w:rPr>
                <w:rFonts w:ascii="Calibri" w:cs="Calibri" w:eastAsia="Calibri" w:hAnsi="Calibri"/>
                <w:b w:val="1"/>
                <w:color w:val="5d8db6"/>
                <w:sz w:val="32"/>
                <w:szCs w:val="32"/>
              </w:rPr>
            </w:pPr>
            <w:bookmarkStart w:colFirst="0" w:colLast="0" w:name="_heading=h.30j0zll" w:id="1"/>
            <w:bookmarkEnd w:id="1"/>
            <w:r w:rsidDel="00000000" w:rsidR="00000000" w:rsidRPr="00000000">
              <w:rPr>
                <w:rFonts w:ascii="Calibri" w:cs="Calibri" w:eastAsia="Calibri" w:hAnsi="Calibri"/>
                <w:b w:val="1"/>
                <w:color w:val="5d8db6"/>
                <w:sz w:val="32"/>
                <w:szCs w:val="32"/>
                <w:rtl w:val="0"/>
              </w:rPr>
              <w:t xml:space="preserve">Enrolment Priority Criteria </w:t>
            </w:r>
          </w:p>
        </w:tc>
      </w:tr>
    </w:tbl>
    <w:p w:rsidR="00000000" w:rsidDel="00000000" w:rsidP="00000000" w:rsidRDefault="00000000" w:rsidRPr="00000000" w14:paraId="00000005">
      <w:pPr>
        <w:spacing w:after="120" w:line="264"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06">
      <w:pPr>
        <w:spacing w:before="120" w:lineRule="auto"/>
        <w:jc w:val="both"/>
        <w:rPr>
          <w:rFonts w:ascii="Calibri" w:cs="Calibri" w:eastAsia="Calibri" w:hAnsi="Calibri"/>
          <w:b w:val="1"/>
          <w:i w:val="1"/>
          <w:color w:val="5b9bd5"/>
        </w:rPr>
      </w:pPr>
      <w:r w:rsidDel="00000000" w:rsidR="00000000" w:rsidRPr="00000000">
        <w:rPr>
          <w:rFonts w:ascii="Calibri" w:cs="Calibri" w:eastAsia="Calibri" w:hAnsi="Calibri"/>
          <w:rtl w:val="0"/>
        </w:rPr>
        <w:t xml:space="preserve">This is a School which operates with the consent of the Bishop of the Catholic Diocese of Sandhurst and is owned and operated by Catholic Education Sandhurst (CES) Limited, where formation and education are based on the principles of Catholic doctrine, and where the teachers are outstanding in true doctrine and uprightness of life. This Enrolment Priority Criteria is part of the Enrolment Framework which is available at </w:t>
      </w:r>
      <w:hyperlink r:id="rId9">
        <w:r w:rsidDel="00000000" w:rsidR="00000000" w:rsidRPr="00000000">
          <w:rPr>
            <w:b w:val="1"/>
            <w:color w:val="1155cc"/>
            <w:u w:val="single"/>
            <w:rtl w:val="0"/>
          </w:rPr>
          <w:t xml:space="preserve">https://www.sjnagambie.catholic.edu.au/</w:t>
        </w:r>
      </w:hyperlink>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007">
      <w:pPr>
        <w:spacing w:after="120" w:line="264"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08">
      <w:pPr>
        <w:spacing w:after="120" w:before="120" w:line="288" w:lineRule="auto"/>
        <w:ind w:left="284" w:firstLine="0"/>
        <w:jc w:val="both"/>
        <w:rPr>
          <w:rFonts w:ascii="Calibri" w:cs="Calibri" w:eastAsia="Calibri" w:hAnsi="Calibri"/>
        </w:rPr>
      </w:pPr>
      <w:r w:rsidDel="00000000" w:rsidR="00000000" w:rsidRPr="00000000">
        <w:rPr>
          <w:rFonts w:ascii="Calibri" w:cs="Calibri" w:eastAsia="Calibri" w:hAnsi="Calibri"/>
          <w:rtl w:val="0"/>
        </w:rPr>
        <w:t xml:space="preserve">Where enrolment applications exceed the positions available at the school, the following enrolment priority criteria should be applied by each Sandhurst Catholic School (with the exception of Specialist school settings that may apply additional criteria to reflect enrolment of a specialist student cohort) in making an enrolment offer.</w:t>
      </w:r>
    </w:p>
    <w:p w:rsidR="00000000" w:rsidDel="00000000" w:rsidP="00000000" w:rsidRDefault="00000000" w:rsidRPr="00000000" w14:paraId="00000009">
      <w:pPr>
        <w:spacing w:after="120" w:before="120" w:line="288" w:lineRule="auto"/>
        <w:ind w:left="284" w:firstLine="0"/>
        <w:jc w:val="both"/>
        <w:rPr>
          <w:rFonts w:ascii="Calibri" w:cs="Calibri" w:eastAsia="Calibri" w:hAnsi="Calibri"/>
        </w:rPr>
      </w:pPr>
      <w:r w:rsidDel="00000000" w:rsidR="00000000" w:rsidRPr="00000000">
        <w:rPr>
          <w:rFonts w:ascii="Calibri" w:cs="Calibri" w:eastAsia="Calibri" w:hAnsi="Calibri"/>
          <w:rtl w:val="0"/>
        </w:rPr>
        <w:t xml:space="preserve">Each Sandhurst Catholic School will consider its capacity to accept students taking into consideration the local context and the school’s ability to make reasonable adjustments to ensure the enrolment is possible.  </w:t>
      </w:r>
    </w:p>
    <w:p w:rsidR="00000000" w:rsidDel="00000000" w:rsidP="00000000" w:rsidRDefault="00000000" w:rsidRPr="00000000" w14:paraId="0000000A">
      <w:pPr>
        <w:numPr>
          <w:ilvl w:val="0"/>
          <w:numId w:val="3"/>
        </w:numPr>
        <w:spacing w:after="0" w:before="120" w:line="288" w:lineRule="auto"/>
        <w:ind w:left="709" w:hanging="709"/>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Primary Schools </w:t>
      </w:r>
    </w:p>
    <w:p w:rsidR="00000000" w:rsidDel="00000000" w:rsidP="00000000" w:rsidRDefault="00000000" w:rsidRPr="00000000" w14:paraId="0000000B">
      <w:pPr>
        <w:numPr>
          <w:ilvl w:val="0"/>
          <w:numId w:val="1"/>
        </w:numPr>
        <w:spacing w:after="120" w:before="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Children baptised in the Catholic faith who are members of the designated parish communities. </w:t>
      </w:r>
    </w:p>
    <w:p w:rsidR="00000000" w:rsidDel="00000000" w:rsidP="00000000" w:rsidRDefault="00000000" w:rsidRPr="00000000" w14:paraId="0000000C">
      <w:pPr>
        <w:numPr>
          <w:ilvl w:val="0"/>
          <w:numId w:val="1"/>
        </w:num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Children baptised in the Catholic faith from other parishes which do not have a primary school or where the designated parish primary school has no vacancies.  </w:t>
      </w:r>
    </w:p>
    <w:p w:rsidR="00000000" w:rsidDel="00000000" w:rsidP="00000000" w:rsidRDefault="00000000" w:rsidRPr="00000000" w14:paraId="0000000D">
      <w:pPr>
        <w:numPr>
          <w:ilvl w:val="0"/>
          <w:numId w:val="1"/>
        </w:num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Siblings of other children already enrolled who are not baptised in the Catholic faith. </w:t>
      </w:r>
    </w:p>
    <w:p w:rsidR="00000000" w:rsidDel="00000000" w:rsidP="00000000" w:rsidRDefault="00000000" w:rsidRPr="00000000" w14:paraId="0000000E">
      <w:pPr>
        <w:numPr>
          <w:ilvl w:val="0"/>
          <w:numId w:val="1"/>
        </w:num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Children of other Christian Churches and other faith traditions who, with their parents, respect and agree to support the Catholic mission of the school including the religious education it offers for their children.  </w:t>
      </w:r>
    </w:p>
    <w:p w:rsidR="00000000" w:rsidDel="00000000" w:rsidP="00000000" w:rsidRDefault="00000000" w:rsidRPr="00000000" w14:paraId="0000000F">
      <w:pPr>
        <w:numPr>
          <w:ilvl w:val="0"/>
          <w:numId w:val="1"/>
        </w:num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Children who, with their parents, respect and agree to support the Catholic mission of the school including the religious education it offers for their children.  </w:t>
      </w:r>
    </w:p>
    <w:p w:rsidR="00000000" w:rsidDel="00000000" w:rsidP="00000000" w:rsidRDefault="00000000" w:rsidRPr="00000000" w14:paraId="00000010">
      <w:pPr>
        <w:numPr>
          <w:ilvl w:val="0"/>
          <w:numId w:val="1"/>
        </w:num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rtl w:val="0"/>
        </w:rPr>
        <w:t xml:space="preserve">Other considerations may include: children enrolled in the parish Sandhurst Early Childhood Education and Care facility; a family association with the school and being the sibling or child of a past pupil. These considerations should not preclude other relevant factors being taken into consideration when determining which children will be offered enrolment. </w:t>
      </w:r>
    </w:p>
    <w:p w:rsidR="00000000" w:rsidDel="00000000" w:rsidP="00000000" w:rsidRDefault="00000000" w:rsidRPr="00000000" w14:paraId="00000011">
      <w:pPr>
        <w:spacing w:after="120" w:before="120" w:line="293.00000000000006" w:lineRule="auto"/>
        <w:ind w:left="1276" w:hanging="502"/>
        <w:jc w:val="both"/>
        <w:rPr>
          <w:rFonts w:ascii="Calibri" w:cs="Calibri" w:eastAsia="Calibri" w:hAnsi="Calibri"/>
        </w:rPr>
      </w:pPr>
      <w:r w:rsidDel="00000000" w:rsidR="00000000" w:rsidRPr="00000000">
        <w:rPr>
          <w:rFonts w:ascii="Calibri" w:cs="Calibri" w:eastAsia="Calibri" w:hAnsi="Calibri"/>
          <w:b w:val="1"/>
          <w:rtl w:val="0"/>
        </w:rPr>
        <w:t xml:space="preserve">Note:</w:t>
      </w:r>
      <w:r w:rsidDel="00000000" w:rsidR="00000000" w:rsidRPr="00000000">
        <w:rPr>
          <w:rFonts w:ascii="Calibri" w:cs="Calibri" w:eastAsia="Calibri" w:hAnsi="Calibri"/>
          <w:rtl w:val="0"/>
        </w:rPr>
        <w:t xml:space="preserve"> Local pastoral discretion is an important element in the decision-making process and will be taken into account by the school’s Enrolment Panel.</w:t>
      </w:r>
    </w:p>
    <w:p w:rsidR="00000000" w:rsidDel="00000000" w:rsidP="00000000" w:rsidRDefault="00000000" w:rsidRPr="00000000" w14:paraId="00000012">
      <w:pPr>
        <w:numPr>
          <w:ilvl w:val="0"/>
          <w:numId w:val="3"/>
        </w:numPr>
        <w:spacing w:after="120" w:before="480" w:line="288" w:lineRule="auto"/>
        <w:ind w:left="709" w:hanging="709"/>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Secondary Schools </w:t>
      </w:r>
    </w:p>
    <w:p w:rsidR="00000000" w:rsidDel="00000000" w:rsidP="00000000" w:rsidRDefault="00000000" w:rsidRPr="00000000" w14:paraId="00000013">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baptised in the Catholic faith who have completed primary education in a Catholic parish primary school and who live in the designated region which the Catholic secondary school serves. </w:t>
      </w:r>
    </w:p>
    <w:p w:rsidR="00000000" w:rsidDel="00000000" w:rsidP="00000000" w:rsidRDefault="00000000" w:rsidRPr="00000000" w14:paraId="00000014">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baptised in the Catholic faith who have completed primary education at a school other than a Catholic primary school and who live in the designated region which the Catholic secondary school serves.  </w:t>
      </w:r>
    </w:p>
    <w:p w:rsidR="00000000" w:rsidDel="00000000" w:rsidP="00000000" w:rsidRDefault="00000000" w:rsidRPr="00000000" w14:paraId="00000015">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baptised in the Catholic faith from other regions where the designated school has no vacancies.  </w:t>
      </w:r>
    </w:p>
    <w:p w:rsidR="00000000" w:rsidDel="00000000" w:rsidP="00000000" w:rsidRDefault="00000000" w:rsidRPr="00000000" w14:paraId="00000016">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Siblings of other children already enrolled who are not baptised in the Catholic faith.  </w:t>
      </w:r>
    </w:p>
    <w:p w:rsidR="00000000" w:rsidDel="00000000" w:rsidP="00000000" w:rsidRDefault="00000000" w:rsidRPr="00000000" w14:paraId="00000017">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of other Christian Churches and other faith traditions who have completed primary education in a Catholic parish primary school and who live in the designated region which the Catholic secondary school serves who, with their parents, respect and agree to support the Catholic mission of the school including the Religious Education it offers for their children.  </w:t>
      </w:r>
    </w:p>
    <w:p w:rsidR="00000000" w:rsidDel="00000000" w:rsidP="00000000" w:rsidRDefault="00000000" w:rsidRPr="00000000" w14:paraId="00000018">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who have completed primary education in a Catholic parish primary school and who live in the designated region which the Catholic secondary school serves who, with their parents, respect and agree to support the Catholic mission of the school including the Religious Education it offers for their children.  </w:t>
      </w:r>
    </w:p>
    <w:p w:rsidR="00000000" w:rsidDel="00000000" w:rsidP="00000000" w:rsidRDefault="00000000" w:rsidRPr="00000000" w14:paraId="00000019">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of other Christian churches and faith traditions who have completed primary education in a Christian primary school or another faith-based school and who live in the designated region which the Catholic secondary school serves who, with their parents, respect and agree to support the Catholic mission of the school including the religious education it offers for their children. </w:t>
      </w:r>
    </w:p>
    <w:p w:rsidR="00000000" w:rsidDel="00000000" w:rsidP="00000000" w:rsidRDefault="00000000" w:rsidRPr="00000000" w14:paraId="0000001A">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Families who have been committed to Catholic education for the entire Primary school education of their child may be given priority over families who have chosen Catholic education for the last year or second last year of Primary school for a child.</w:t>
      </w:r>
    </w:p>
    <w:p w:rsidR="00000000" w:rsidDel="00000000" w:rsidP="00000000" w:rsidRDefault="00000000" w:rsidRPr="00000000" w14:paraId="0000001B">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of other Christian Churches and faith traditions who, with their parents, respect and agree to support the Catholic mission of the school including the religious education it offers for their children.</w:t>
      </w:r>
    </w:p>
    <w:p w:rsidR="00000000" w:rsidDel="00000000" w:rsidP="00000000" w:rsidRDefault="00000000" w:rsidRPr="00000000" w14:paraId="0000001C">
      <w:pPr>
        <w:numPr>
          <w:ilvl w:val="0"/>
          <w:numId w:val="2"/>
        </w:numPr>
        <w:spacing w:after="120" w:before="120" w:line="293.00000000000006" w:lineRule="auto"/>
        <w:ind w:left="1276" w:hanging="562"/>
        <w:jc w:val="both"/>
        <w:rPr>
          <w:rFonts w:ascii="Calibri" w:cs="Calibri" w:eastAsia="Calibri" w:hAnsi="Calibri"/>
        </w:rPr>
      </w:pPr>
      <w:r w:rsidDel="00000000" w:rsidR="00000000" w:rsidRPr="00000000">
        <w:rPr>
          <w:rFonts w:ascii="Calibri" w:cs="Calibri" w:eastAsia="Calibri" w:hAnsi="Calibri"/>
          <w:rtl w:val="0"/>
        </w:rPr>
        <w:t xml:space="preserve">Children who, with their parents, respect and agree to support the Catholic mission of the school including the religious education it offers for their children.  </w:t>
      </w:r>
    </w:p>
    <w:p w:rsidR="00000000" w:rsidDel="00000000" w:rsidP="00000000" w:rsidRDefault="00000000" w:rsidRPr="00000000" w14:paraId="0000001D">
      <w:pPr>
        <w:numPr>
          <w:ilvl w:val="0"/>
          <w:numId w:val="2"/>
        </w:numPr>
        <w:spacing w:after="120" w:before="120" w:line="293.00000000000006" w:lineRule="auto"/>
        <w:ind w:left="1276" w:hanging="562"/>
        <w:jc w:val="both"/>
        <w:rPr/>
      </w:pPr>
      <w:r w:rsidDel="00000000" w:rsidR="00000000" w:rsidRPr="00000000">
        <w:rPr>
          <w:rFonts w:ascii="Calibri" w:cs="Calibri" w:eastAsia="Calibri" w:hAnsi="Calibri"/>
          <w:rtl w:val="0"/>
        </w:rPr>
        <w:t xml:space="preserve">Other considerations may include; a family association with the school and being the sibling or child of a past pupil. These considerations should not preclude other relevant factors being taken into consideration when determining which children will be offered enrolment. Local pastoral discretion is an important element in the decision-making process and will be taken into account by this school</w:t>
      </w:r>
      <w:r w:rsidDel="00000000" w:rsidR="00000000" w:rsidRPr="00000000">
        <w:rPr>
          <w:rFonts w:ascii="Calibri" w:cs="Calibri" w:eastAsia="Calibri" w:hAnsi="Calibri"/>
          <w:color w:val="000000"/>
          <w:rtl w:val="0"/>
        </w:rPr>
        <w:t xml:space="preserve">.</w:t>
      </w:r>
      <w:r w:rsidDel="00000000" w:rsidR="00000000" w:rsidRPr="00000000">
        <w:rPr>
          <w:rtl w:val="0"/>
        </w:rPr>
      </w:r>
    </w:p>
    <w:sectPr>
      <w:footerReference r:id="rId10" w:type="default"/>
      <w:pgSz w:h="16838" w:w="11906" w:orient="portrait"/>
      <w:pgMar w:bottom="1418" w:top="1418" w:left="1418" w:right="1418" w:header="709" w:footer="51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 Priority Criteria - Enrolment Policy</w:t>
      <w:tab/>
      <w:tab/>
      <w:t xml:space="preserve">Page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-1652903</wp:posOffset>
          </wp:positionH>
          <wp:positionV relativeFrom="paragraph">
            <wp:posOffset>0</wp:posOffset>
          </wp:positionV>
          <wp:extent cx="10007223" cy="1381760"/>
          <wp:effectExtent b="0" l="0" r="0" t="0"/>
          <wp:wrapNone/>
          <wp:docPr descr="TEMPLATE CES POLICIES (NEW LOGO) 2018" id="35" name="image1.png"/>
          <a:graphic>
            <a:graphicData uri="http://schemas.openxmlformats.org/drawingml/2006/picture">
              <pic:pic>
                <pic:nvPicPr>
                  <pic:cNvPr descr="TEMPLATE CES POLICIES (NEW LOGO) 2018" id="0" name="image1.png"/>
                  <pic:cNvPicPr preferRelativeResize="0"/>
                </pic:nvPicPr>
                <pic:blipFill>
                  <a:blip r:embed="rId1"/>
                  <a:srcRect b="0" l="0" r="0" t="89300"/>
                  <a:stretch>
                    <a:fillRect/>
                  </a:stretch>
                </pic:blipFill>
                <pic:spPr>
                  <a:xfrm>
                    <a:off x="0" y="0"/>
                    <a:ext cx="10007223" cy="1381760"/>
                  </a:xfrm>
                  <a:prstGeom prst="rect"/>
                  <a:ln/>
                </pic:spPr>
              </pic:pic>
            </a:graphicData>
          </a:graphic>
        </wp:anchor>
      </w:drawing>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77" w:hanging="360"/>
      </w:pPr>
      <w:rPr>
        <w:rFonts w:ascii="Noto Sans Symbols" w:cs="Noto Sans Symbols" w:eastAsia="Noto Sans Symbols" w:hAnsi="Noto Sans Symbols"/>
      </w:rPr>
    </w:lvl>
    <w:lvl w:ilvl="1">
      <w:start w:val="1"/>
      <w:numFmt w:val="bullet"/>
      <w:lvlText w:val="o"/>
      <w:lvlJc w:val="left"/>
      <w:pPr>
        <w:ind w:left="1797" w:hanging="360"/>
      </w:pPr>
      <w:rPr>
        <w:rFonts w:ascii="Courier New" w:cs="Courier New" w:eastAsia="Courier New" w:hAnsi="Courier New"/>
      </w:rPr>
    </w:lvl>
    <w:lvl w:ilvl="2">
      <w:start w:val="1"/>
      <w:numFmt w:val="bullet"/>
      <w:lvlText w:val="▪"/>
      <w:lvlJc w:val="left"/>
      <w:pPr>
        <w:ind w:left="2517" w:hanging="360"/>
      </w:pPr>
      <w:rPr>
        <w:rFonts w:ascii="Noto Sans Symbols" w:cs="Noto Sans Symbols" w:eastAsia="Noto Sans Symbols" w:hAnsi="Noto Sans Symbols"/>
      </w:rPr>
    </w:lvl>
    <w:lvl w:ilvl="3">
      <w:start w:val="1"/>
      <w:numFmt w:val="bullet"/>
      <w:lvlText w:val="●"/>
      <w:lvlJc w:val="left"/>
      <w:pPr>
        <w:ind w:left="3237" w:hanging="360"/>
      </w:pPr>
      <w:rPr>
        <w:rFonts w:ascii="Noto Sans Symbols" w:cs="Noto Sans Symbols" w:eastAsia="Noto Sans Symbols" w:hAnsi="Noto Sans Symbols"/>
      </w:rPr>
    </w:lvl>
    <w:lvl w:ilvl="4">
      <w:start w:val="1"/>
      <w:numFmt w:val="bullet"/>
      <w:lvlText w:val="o"/>
      <w:lvlJc w:val="left"/>
      <w:pPr>
        <w:ind w:left="3957" w:hanging="360"/>
      </w:pPr>
      <w:rPr>
        <w:rFonts w:ascii="Courier New" w:cs="Courier New" w:eastAsia="Courier New" w:hAnsi="Courier New"/>
      </w:rPr>
    </w:lvl>
    <w:lvl w:ilvl="5">
      <w:start w:val="1"/>
      <w:numFmt w:val="bullet"/>
      <w:lvlText w:val="▪"/>
      <w:lvlJc w:val="left"/>
      <w:pPr>
        <w:ind w:left="4677" w:hanging="360"/>
      </w:pPr>
      <w:rPr>
        <w:rFonts w:ascii="Noto Sans Symbols" w:cs="Noto Sans Symbols" w:eastAsia="Noto Sans Symbols" w:hAnsi="Noto Sans Symbols"/>
      </w:rPr>
    </w:lvl>
    <w:lvl w:ilvl="6">
      <w:start w:val="1"/>
      <w:numFmt w:val="bullet"/>
      <w:lvlText w:val="●"/>
      <w:lvlJc w:val="left"/>
      <w:pPr>
        <w:ind w:left="5397" w:hanging="360"/>
      </w:pPr>
      <w:rPr>
        <w:rFonts w:ascii="Noto Sans Symbols" w:cs="Noto Sans Symbols" w:eastAsia="Noto Sans Symbols" w:hAnsi="Noto Sans Symbols"/>
      </w:rPr>
    </w:lvl>
    <w:lvl w:ilvl="7">
      <w:start w:val="1"/>
      <w:numFmt w:val="bullet"/>
      <w:lvlText w:val="o"/>
      <w:lvlJc w:val="left"/>
      <w:pPr>
        <w:ind w:left="6117" w:hanging="360"/>
      </w:pPr>
      <w:rPr>
        <w:rFonts w:ascii="Courier New" w:cs="Courier New" w:eastAsia="Courier New" w:hAnsi="Courier New"/>
      </w:rPr>
    </w:lvl>
    <w:lvl w:ilvl="8">
      <w:start w:val="1"/>
      <w:numFmt w:val="bullet"/>
      <w:lvlText w:val="▪"/>
      <w:lvlJc w:val="left"/>
      <w:pPr>
        <w:ind w:left="6837" w:hanging="360"/>
      </w:pPr>
      <w:rPr>
        <w:rFonts w:ascii="Noto Sans Symbols" w:cs="Noto Sans Symbols" w:eastAsia="Noto Sans Symbols" w:hAnsi="Noto Sans Symbols"/>
      </w:rPr>
    </w:lvl>
  </w:abstractNum>
  <w:abstractNum w:abstractNumId="2">
    <w:lvl w:ilvl="0">
      <w:start w:val="1"/>
      <w:numFmt w:val="bullet"/>
      <w:lvlText w:val="●"/>
      <w:lvlJc w:val="left"/>
      <w:pPr>
        <w:ind w:left="1077" w:hanging="360"/>
      </w:pPr>
      <w:rPr>
        <w:rFonts w:ascii="Noto Sans Symbols" w:cs="Noto Sans Symbols" w:eastAsia="Noto Sans Symbols" w:hAnsi="Noto Sans Symbols"/>
      </w:rPr>
    </w:lvl>
    <w:lvl w:ilvl="1">
      <w:start w:val="1"/>
      <w:numFmt w:val="bullet"/>
      <w:lvlText w:val="o"/>
      <w:lvlJc w:val="left"/>
      <w:pPr>
        <w:ind w:left="1797" w:hanging="360"/>
      </w:pPr>
      <w:rPr>
        <w:rFonts w:ascii="Courier New" w:cs="Courier New" w:eastAsia="Courier New" w:hAnsi="Courier New"/>
      </w:rPr>
    </w:lvl>
    <w:lvl w:ilvl="2">
      <w:start w:val="1"/>
      <w:numFmt w:val="bullet"/>
      <w:lvlText w:val="▪"/>
      <w:lvlJc w:val="left"/>
      <w:pPr>
        <w:ind w:left="2517" w:hanging="360"/>
      </w:pPr>
      <w:rPr>
        <w:rFonts w:ascii="Noto Sans Symbols" w:cs="Noto Sans Symbols" w:eastAsia="Noto Sans Symbols" w:hAnsi="Noto Sans Symbols"/>
      </w:rPr>
    </w:lvl>
    <w:lvl w:ilvl="3">
      <w:start w:val="1"/>
      <w:numFmt w:val="bullet"/>
      <w:lvlText w:val="●"/>
      <w:lvlJc w:val="left"/>
      <w:pPr>
        <w:ind w:left="3237" w:hanging="360"/>
      </w:pPr>
      <w:rPr>
        <w:rFonts w:ascii="Noto Sans Symbols" w:cs="Noto Sans Symbols" w:eastAsia="Noto Sans Symbols" w:hAnsi="Noto Sans Symbols"/>
      </w:rPr>
    </w:lvl>
    <w:lvl w:ilvl="4">
      <w:start w:val="1"/>
      <w:numFmt w:val="bullet"/>
      <w:lvlText w:val="o"/>
      <w:lvlJc w:val="left"/>
      <w:pPr>
        <w:ind w:left="3957" w:hanging="360"/>
      </w:pPr>
      <w:rPr>
        <w:rFonts w:ascii="Courier New" w:cs="Courier New" w:eastAsia="Courier New" w:hAnsi="Courier New"/>
      </w:rPr>
    </w:lvl>
    <w:lvl w:ilvl="5">
      <w:start w:val="1"/>
      <w:numFmt w:val="bullet"/>
      <w:lvlText w:val="▪"/>
      <w:lvlJc w:val="left"/>
      <w:pPr>
        <w:ind w:left="4677" w:hanging="360"/>
      </w:pPr>
      <w:rPr>
        <w:rFonts w:ascii="Noto Sans Symbols" w:cs="Noto Sans Symbols" w:eastAsia="Noto Sans Symbols" w:hAnsi="Noto Sans Symbols"/>
      </w:rPr>
    </w:lvl>
    <w:lvl w:ilvl="6">
      <w:start w:val="1"/>
      <w:numFmt w:val="bullet"/>
      <w:lvlText w:val="●"/>
      <w:lvlJc w:val="left"/>
      <w:pPr>
        <w:ind w:left="5397" w:hanging="360"/>
      </w:pPr>
      <w:rPr>
        <w:rFonts w:ascii="Noto Sans Symbols" w:cs="Noto Sans Symbols" w:eastAsia="Noto Sans Symbols" w:hAnsi="Noto Sans Symbols"/>
      </w:rPr>
    </w:lvl>
    <w:lvl w:ilvl="7">
      <w:start w:val="1"/>
      <w:numFmt w:val="bullet"/>
      <w:lvlText w:val="o"/>
      <w:lvlJc w:val="left"/>
      <w:pPr>
        <w:ind w:left="6117" w:hanging="360"/>
      </w:pPr>
      <w:rPr>
        <w:rFonts w:ascii="Courier New" w:cs="Courier New" w:eastAsia="Courier New" w:hAnsi="Courier New"/>
      </w:rPr>
    </w:lvl>
    <w:lvl w:ilvl="8">
      <w:start w:val="1"/>
      <w:numFmt w:val="bullet"/>
      <w:lvlText w:val="▪"/>
      <w:lvlJc w:val="left"/>
      <w:pPr>
        <w:ind w:left="6837" w:hanging="360"/>
      </w:pPr>
      <w:rPr>
        <w:rFonts w:ascii="Noto Sans Symbols" w:cs="Noto Sans Symbols" w:eastAsia="Noto Sans Symbols" w:hAnsi="Noto Sans Symbols"/>
      </w:rPr>
    </w:lvl>
  </w:abstractNum>
  <w:abstractNum w:abstractNumId="3">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paragraph" w:styleId="Footer">
    <w:name w:val="footer"/>
    <w:basedOn w:val="Normal"/>
    <w:link w:val="FooterChar"/>
    <w:uiPriority w:val="99"/>
    <w:unhideWhenUsed w:val="1"/>
    <w:rsid w:val="00EC25DE"/>
    <w:pPr>
      <w:tabs>
        <w:tab w:val="center" w:pos="4513"/>
        <w:tab w:val="right" w:pos="9026"/>
      </w:tabs>
      <w:spacing w:after="0" w:line="240" w:lineRule="auto"/>
    </w:pPr>
  </w:style>
  <w:style w:type="character" w:styleId="FooterChar" w:customStyle="1">
    <w:name w:val="Footer Char"/>
    <w:basedOn w:val="DefaultParagraphFont"/>
    <w:link w:val="Footer"/>
    <w:uiPriority w:val="99"/>
    <w:rsid w:val="00EC25DE"/>
  </w:style>
  <w:style w:type="table" w:styleId="TableGrid">
    <w:name w:val="Table Grid"/>
    <w:basedOn w:val="TableNormal"/>
    <w:uiPriority w:val="39"/>
    <w:rsid w:val="00EC25DE"/>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Header">
    <w:name w:val="header"/>
    <w:basedOn w:val="Normal"/>
    <w:link w:val="HeaderChar"/>
    <w:uiPriority w:val="99"/>
    <w:unhideWhenUsed w:val="1"/>
    <w:rsid w:val="00EC25DE"/>
    <w:pPr>
      <w:tabs>
        <w:tab w:val="center" w:pos="4513"/>
        <w:tab w:val="right" w:pos="9026"/>
      </w:tabs>
      <w:spacing w:after="0" w:line="240" w:lineRule="auto"/>
    </w:pPr>
  </w:style>
  <w:style w:type="character" w:styleId="HeaderChar" w:customStyle="1">
    <w:name w:val="Header Char"/>
    <w:basedOn w:val="DefaultParagraphFont"/>
    <w:link w:val="Header"/>
    <w:uiPriority w:val="99"/>
    <w:rsid w:val="00EC25DE"/>
  </w:style>
  <w:style w:type="character" w:styleId="Heading" w:customStyle="1">
    <w:name w:val="Heading"/>
    <w:basedOn w:val="DefaultParagraphFont"/>
    <w:uiPriority w:val="1"/>
    <w:rsid w:val="00CB62BE"/>
    <w:rPr>
      <w:rFonts w:ascii="Calibri" w:hAnsi="Calibri"/>
      <w:b w:val="1"/>
      <w:color w:val="5d8db6"/>
      <w:sz w:val="32"/>
    </w:rPr>
  </w:style>
  <w:style w:type="character" w:styleId="PlaceholderText">
    <w:name w:val="Placeholder Text"/>
    <w:basedOn w:val="DefaultParagraphFont"/>
    <w:uiPriority w:val="99"/>
    <w:semiHidden w:val="1"/>
    <w:rsid w:val="007E2F5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yperlink" Target="https://www.sjnagambie.catholic.edu.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3.jpg"/></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kCGFehHe+VapywiOJ2etsUVrEA==">AMUW2mVKb8kb4NuPWm7Kd1Jm/e0KoTPUsKneLUBO7ldbj8B2a5KHPBx0MyTn9SPMQxNyMUeH8OHph4aBx06a1q8cnobAeA8WrpuY5CPg3q65q2gDNUQxgXAHSOKeYAX1CZ+RVRWAbQCd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2021-06-24T03:10:00Z</dcterms:created>
  <dc:creator>Catherine Barianos</dc:creator>
</cp:coreProperties>
</file>